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Programme scientifique détaillé</w:t>
        <w:br/>
        <w:t>Réunion fondatrice SFBV – Nice, mars 2026</w:t>
      </w:r>
    </w:p>
    <w:p>
      <w:r>
        <w:br/>
        <w:t>Jour 1 – Fondements biologiques du vieillissement</w:t>
        <w:br/>
        <w:t>09:00 Ouverture officielle</w:t>
        <w:br/>
        <w:t>09:30 Keynote internationale : mécanismes causaux du vieillissement</w:t>
        <w:br/>
        <w:t>11:00 Session 1 : Sénescence, épigénétique, plasticité tissulaire</w:t>
        <w:br/>
        <w:t>14:00 Session 2 : Modélisation, IA et systèmes complexes</w:t>
        <w:br/>
        <w:t>16:30 Table ronde : vers des interventions mécanistiques</w:t>
        <w:br/>
        <w:br/>
        <w:t>Jour 2 – Translation, gouvernance et international</w:t>
        <w:br/>
        <w:t>09:00 Session 3 : Stratégies thérapeutiques émergentes</w:t>
        <w:br/>
        <w:t>11:00 Session 4 : Reproductibilité, standards, données ouvertes</w:t>
        <w:br/>
        <w:t>14:00 Coopérations internationales et MoU</w:t>
        <w:br/>
        <w:t>15:30 Assemblée générale constitutive</w:t>
        <w:br/>
        <w:t>16:30 Perspectives et clôture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